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  <w:lang w:val="ru-RU"/>
        </w:rPr>
        <w:t>Ж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  <w:t>урнал технического обслуживания и ремонта электрооборудования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Наименование объекта, адрес________________________________________________________________________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Срок хранения: постоянно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(наименование отделения, участка, трассы)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Начат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«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__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»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________________20__г.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Окончен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«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__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»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______________20__г.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Количество листов_____________________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tbl>
      <w:tblPr>
        <w:tblW w:w="138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2404"/>
        <w:gridCol w:w="1166"/>
        <w:gridCol w:w="1088"/>
        <w:gridCol w:w="1346"/>
        <w:gridCol w:w="1417"/>
        <w:gridCol w:w="1467"/>
        <w:gridCol w:w="1467"/>
        <w:gridCol w:w="16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Layout w:type="fixed"/>
        </w:tblPrEx>
        <w:tc>
          <w:tcPr>
            <w:tcW w:w="1876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Наименование работ (техническое обслуживание, ремонт)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2404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Наименование электрооборудования, порядковый номер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166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Место установки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Сроки проведения работ (число, месяц, год)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Выявленные дефекты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Дата устранения дефектов (число, месяц, год)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3073" w:type="dxa"/>
            <w:gridSpan w:val="2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Должность, инициалы, фамилия, личная подпись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04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ru-RU" w:eastAsia="zh-CN" w:bidi="ar"/>
              </w:rPr>
              <w:t>По графику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ru-RU" w:eastAsia="zh-CN" w:bidi="ar"/>
              </w:rPr>
              <w:t>Фактически</w:t>
            </w: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ru-RU" w:eastAsia="zh-CN" w:bidi="ar"/>
              </w:rPr>
              <w:t>Исполнитель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ru-RU" w:eastAsia="zh-CN" w:bidi="ar"/>
              </w:rPr>
              <w:t>Проверяющий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240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06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bdr w:val="none" w:color="auto" w:sz="0" w:space="0"/>
                <w:shd w:val="clear" w:color="auto" w:fill="auto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sectPr>
      <w:pgSz w:w="16838" w:h="11906" w:orient="landscape"/>
      <w:pgMar w:top="1800" w:right="1440" w:bottom="1800" w:left="144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0584F"/>
    <w:rsid w:val="35D0584F"/>
    <w:rsid w:val="7DC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2021-12-13T05:57:00Z</dcterms:created>
  <dc:creator>google1580108439</dc:creator>
  <cp:lastModifiedBy>google1580108439</cp:lastModifiedBy>
  <dcterms:modified xsi:type="dcterms:W3CDTF">2021-12-13T06:05:06Z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