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sz w:val="24"/>
          <w:szCs w:val="24"/>
          <w:rtl w:val="0"/>
        </w:rPr>
        <w:t xml:space="preserve">ГБОУ ДОД СДЮСШОР «АЛЛЮР»</w:t>
      </w:r>
      <w:r w:rsidDel="00000000" w:rsidR="00000000" w:rsidRPr="00000000">
        <w:rPr>
          <w:sz w:val="22"/>
          <w:szCs w:val="22"/>
          <w:rtl w:val="0"/>
        </w:rPr>
        <w:br w:type="textWrapping"/>
        <w:t xml:space="preserve">ИНН </w:t>
      </w:r>
      <w:r w:rsidDel="00000000" w:rsidR="00000000" w:rsidRPr="00000000">
        <w:rPr>
          <w:b w:val="1"/>
          <w:sz w:val="24"/>
          <w:szCs w:val="24"/>
          <w:rtl w:val="0"/>
        </w:rPr>
        <w:t xml:space="preserve">1234567890</w:t>
      </w:r>
      <w:r w:rsidDel="00000000" w:rsidR="00000000" w:rsidRPr="00000000">
        <w:rPr>
          <w:sz w:val="22"/>
          <w:szCs w:val="22"/>
          <w:rtl w:val="0"/>
        </w:rPr>
        <w:t xml:space="preserve">, КПП </w:t>
      </w:r>
      <w:r w:rsidDel="00000000" w:rsidR="00000000" w:rsidRPr="00000000">
        <w:rPr>
          <w:b w:val="1"/>
          <w:sz w:val="24"/>
          <w:szCs w:val="24"/>
          <w:rtl w:val="0"/>
        </w:rPr>
        <w:t xml:space="preserve">121001001</w:t>
      </w:r>
      <w:r w:rsidDel="00000000" w:rsidR="00000000" w:rsidRPr="00000000">
        <w:rPr>
          <w:sz w:val="22"/>
          <w:szCs w:val="22"/>
          <w:rtl w:val="0"/>
        </w:rPr>
        <w:t xml:space="preserve">, ОКПО </w:t>
      </w:r>
      <w:r w:rsidDel="00000000" w:rsidR="00000000" w:rsidRPr="00000000">
        <w:rPr>
          <w:b w:val="1"/>
          <w:sz w:val="24"/>
          <w:szCs w:val="24"/>
          <w:rtl w:val="0"/>
        </w:rPr>
        <w:t xml:space="preserve">90100101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12" w:val="single"/>
        </w:pBdr>
        <w:contextualSpacing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ПРИКАЗ</w:t>
      </w:r>
    </w:p>
    <w:p w:rsidR="00000000" w:rsidDel="00000000" w:rsidP="00000000" w:rsidRDefault="00000000" w:rsidRPr="00000000">
      <w:pPr>
        <w:contextualSpacing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от «17» сентября 2017 года                                                                    № 76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«О создании пожарно-технической комиссии»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      С целью обеспечения пожарной безопасности на предприятии, исполняя положения Правил противопожарного режима в РФ, утв. Постановление Правительства РФ от 25.04.2012г. № 490</w:t>
      </w:r>
    </w:p>
    <w:p w:rsidR="00000000" w:rsidDel="00000000" w:rsidP="00000000" w:rsidRDefault="00000000" w:rsidRPr="00000000">
      <w:pPr>
        <w:ind w:firstLine="708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ПРИКАЗЫВАЮ: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1. Создать пожарно-техническую комиссию в составе: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Председатель комиссии: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Главный инженер Тихонов Т. Т.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Члены комиссии: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- инспектор по ТБ  Андронова А.А.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- мастер участка Васильев В.В.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- специалист по обслуживанию здания  Воронков В.В.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 Комиссии в своей работе руководствоваться Правилами противопожарного режима в Российской Федерации и другими нормативными документами по пожарной безопасности.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3. Комиссии своевременно выявлять факторы взрывопожароопасности, проводить разъяснительную работу и профилактические мероприятия, при необходимости оказывать методическую помощь руководителям отделов и подразделений, в том числе разрабатывать программы инструктажей, пособия и инструкции.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4. Контроль за исполнением приказа возлагаю на: заместителя директора Борисову Б.Б. 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Директор </w:t>
      </w:r>
      <w:r w:rsidDel="00000000" w:rsidR="00000000" w:rsidRPr="00000000">
        <w:rPr>
          <w:sz w:val="24"/>
          <w:szCs w:val="24"/>
          <w:rtl w:val="0"/>
        </w:rPr>
        <w:t xml:space="preserve">ГБОУ ДОД СДЮСШОР «АЛЛЮР»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Иванов И.И.</w:t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