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F" w:rsidRPr="00D7268F" w:rsidRDefault="00D7268F">
      <w:pPr>
        <w:pStyle w:val="ConsPlusNormal"/>
        <w:jc w:val="both"/>
        <w:outlineLvl w:val="0"/>
      </w:pPr>
    </w:p>
    <w:p w:rsidR="00D7268F" w:rsidRPr="00D7268F" w:rsidRDefault="00D7268F">
      <w:pPr>
        <w:pStyle w:val="ConsPlusNormal"/>
      </w:pPr>
    </w:p>
    <w:p w:rsidR="00D7268F" w:rsidRPr="00D7268F" w:rsidRDefault="00D7268F">
      <w:pPr>
        <w:pStyle w:val="ConsPlusNormal"/>
        <w:spacing w:before="300"/>
        <w:jc w:val="right"/>
      </w:pPr>
      <w:r w:rsidRPr="00D7268F">
        <w:t>Утверждена</w:t>
      </w:r>
    </w:p>
    <w:p w:rsidR="00D7268F" w:rsidRPr="00D7268F" w:rsidRDefault="00D7268F">
      <w:pPr>
        <w:pStyle w:val="ConsPlusNormal"/>
        <w:jc w:val="right"/>
      </w:pPr>
      <w:hyperlink r:id="rId6" w:history="1">
        <w:r w:rsidRPr="00D7268F">
          <w:t>Решением</w:t>
        </w:r>
      </w:hyperlink>
      <w:r w:rsidRPr="00D7268F">
        <w:t xml:space="preserve"> Коллегии</w:t>
      </w:r>
    </w:p>
    <w:p w:rsidR="00D7268F" w:rsidRPr="00D7268F" w:rsidRDefault="00D7268F">
      <w:pPr>
        <w:pStyle w:val="ConsPlusNormal"/>
        <w:jc w:val="right"/>
      </w:pPr>
      <w:r w:rsidRPr="00D7268F">
        <w:t>Евразийской экономической комиссии</w:t>
      </w:r>
    </w:p>
    <w:p w:rsidR="00D7268F" w:rsidRPr="00D7268F" w:rsidRDefault="00D7268F">
      <w:pPr>
        <w:pStyle w:val="ConsPlusNormal"/>
        <w:jc w:val="right"/>
      </w:pPr>
      <w:r w:rsidRPr="00D7268F">
        <w:t>от 16 октября 2018 г. N 160</w:t>
      </w:r>
    </w:p>
    <w:p w:rsidR="00D7268F" w:rsidRPr="00D7268F" w:rsidRDefault="00D7268F">
      <w:pPr>
        <w:pStyle w:val="ConsPlusNormal"/>
        <w:jc w:val="right"/>
      </w:pPr>
    </w:p>
    <w:p w:rsidR="00D7268F" w:rsidRPr="00D7268F" w:rsidRDefault="00D7268F">
      <w:pPr>
        <w:pStyle w:val="ConsPlusNormal"/>
        <w:jc w:val="center"/>
      </w:pPr>
      <w:r w:rsidRPr="00D7268F">
        <w:t>ФОРМА</w:t>
      </w:r>
    </w:p>
    <w:p w:rsidR="00D7268F" w:rsidRPr="00D7268F" w:rsidRDefault="00D7268F">
      <w:pPr>
        <w:pStyle w:val="ConsPlusNormal"/>
        <w:jc w:val="center"/>
      </w:pPr>
      <w:r w:rsidRPr="00D7268F">
        <w:t>декларации таможенной стоимости ДТС-1</w:t>
      </w:r>
    </w:p>
    <w:p w:rsidR="00D7268F" w:rsidRPr="00D7268F" w:rsidRDefault="00D7268F">
      <w:pPr>
        <w:pStyle w:val="ConsPlusNormal"/>
        <w:jc w:val="center"/>
      </w:pPr>
    </w:p>
    <w:p w:rsidR="00D7268F" w:rsidRPr="00D7268F" w:rsidRDefault="00D7268F">
      <w:pPr>
        <w:pStyle w:val="ConsPlusNormal"/>
        <w:jc w:val="right"/>
      </w:pPr>
      <w:r w:rsidRPr="00D7268F">
        <w:t>Форма ДТС-1</w:t>
      </w:r>
    </w:p>
    <w:p w:rsidR="00D7268F" w:rsidRPr="00D7268F" w:rsidRDefault="00D7268F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4932"/>
        <w:gridCol w:w="340"/>
        <w:gridCol w:w="340"/>
        <w:gridCol w:w="2276"/>
        <w:gridCol w:w="964"/>
        <w:gridCol w:w="878"/>
        <w:gridCol w:w="359"/>
        <w:gridCol w:w="340"/>
      </w:tblGrid>
      <w:tr w:rsidR="00D7268F" w:rsidRPr="00D7268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1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Продавец</w:t>
            </w:r>
          </w:p>
        </w:tc>
        <w:tc>
          <w:tcPr>
            <w:tcW w:w="54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ДЛЯ ОТМЕТОК ТАМОЖЕННОГО ОРГАНА</w:t>
            </w:r>
          </w:p>
        </w:tc>
      </w:tr>
      <w:tr w:rsidR="00D7268F" w:rsidRPr="00D7268F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2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(а) Покупатель</w:t>
            </w:r>
          </w:p>
        </w:tc>
        <w:tc>
          <w:tcPr>
            <w:tcW w:w="54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rPr>
          <w:trHeight w:val="27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49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(б) Декларант</w:t>
            </w:r>
          </w:p>
        </w:tc>
        <w:tc>
          <w:tcPr>
            <w:tcW w:w="54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49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3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Условия поставки</w:t>
            </w:r>
          </w:p>
        </w:tc>
      </w:tr>
      <w:tr w:rsidR="00D7268F" w:rsidRPr="00D7268F">
        <w:tc>
          <w:tcPr>
            <w:tcW w:w="5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ВАЖНАЯ ИНФОРМАЦИЯ</w:t>
            </w:r>
          </w:p>
          <w:p w:rsidR="00D7268F" w:rsidRPr="00D7268F" w:rsidRDefault="00D7268F">
            <w:pPr>
              <w:pStyle w:val="ConsPlusNormal"/>
            </w:pPr>
            <w:r w:rsidRPr="00D7268F">
              <w:t xml:space="preserve">Декларант несет ответственность в соответствии с законодательством государств - членов Евразийского экономического союза за неисполнение обязанностей, предусмотренных </w:t>
            </w:r>
            <w:hyperlink r:id="rId7" w:history="1">
              <w:r w:rsidRPr="00D7268F">
                <w:t>пунктом 2 статьи 84</w:t>
              </w:r>
            </w:hyperlink>
            <w:r w:rsidRPr="00D7268F">
              <w:t xml:space="preserve"> Таможенного кодекса Евразийского экономического союза, за заявление в таможенной декларации недостоверных сведений, а также за представление таможенному представителю недействительных документов, в том числе поддельных и (или) содержащих заведомо недостоверные (ложные) сведения.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4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Номер и дата счета (счетов)</w:t>
            </w:r>
          </w:p>
        </w:tc>
      </w:tr>
      <w:tr w:rsidR="00D7268F" w:rsidRPr="00D7268F">
        <w:tc>
          <w:tcPr>
            <w:tcW w:w="5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5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Номер и дата контракта (договора, соглашения)</w:t>
            </w:r>
          </w:p>
        </w:tc>
      </w:tr>
      <w:tr w:rsidR="00D7268F" w:rsidRPr="00D7268F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6</w:t>
            </w:r>
          </w:p>
        </w:tc>
        <w:tc>
          <w:tcPr>
            <w:tcW w:w="1042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Номера и даты документов, имеющих отношение к сведениям, указанным в </w:t>
            </w:r>
            <w:hyperlink w:anchor="Par32" w:tooltip="7" w:history="1">
              <w:r w:rsidRPr="00D7268F">
                <w:t>графах 7</w:t>
              </w:r>
            </w:hyperlink>
            <w:r w:rsidRPr="00D7268F">
              <w:t xml:space="preserve"> - </w:t>
            </w:r>
            <w:hyperlink w:anchor="Par57" w:tooltip="9" w:history="1">
              <w:r w:rsidRPr="00D7268F">
                <w:t>9</w:t>
              </w:r>
            </w:hyperlink>
          </w:p>
        </w:tc>
      </w:tr>
      <w:tr w:rsidR="00D7268F" w:rsidRPr="00D7268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1042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0" w:name="Par32"/>
            <w:bookmarkEnd w:id="0"/>
            <w:r w:rsidRPr="00D7268F">
              <w:lastRenderedPageBreak/>
              <w:t>7</w:t>
            </w:r>
          </w:p>
        </w:tc>
        <w:tc>
          <w:tcPr>
            <w:tcW w:w="788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(а) Имеется ли ВЗАИМОСВЯЗЬ между продавцом и покупателем в значении, указанном в </w:t>
            </w:r>
            <w:hyperlink r:id="rId8" w:history="1">
              <w:r w:rsidRPr="00D7268F">
                <w:t>статье 37</w:t>
              </w:r>
            </w:hyperlink>
            <w:r w:rsidRPr="00D7268F">
              <w:t xml:space="preserve"> Таможенного кодекса Евразийского экономического союза? </w:t>
            </w:r>
            <w:hyperlink w:anchor="Par65" w:tooltip="&lt;*&gt; Лица являются взаимосвязанными исключительно в том случае, если они:" w:history="1">
              <w:r w:rsidRPr="00D7268F">
                <w:t>&lt;*&gt;</w:t>
              </w:r>
            </w:hyperlink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Верное отметить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  <w:r w:rsidRPr="00D7268F">
              <w:t>X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both"/>
            </w:pPr>
          </w:p>
        </w:tc>
      </w:tr>
      <w:tr w:rsidR="00D7268F" w:rsidRPr="00D7268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7888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both"/>
            </w:pPr>
          </w:p>
        </w:tc>
      </w:tr>
      <w:tr w:rsidR="00D7268F" w:rsidRPr="00D7268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7888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ДА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НЕТ</w:t>
            </w:r>
          </w:p>
        </w:tc>
      </w:tr>
      <w:tr w:rsidR="00D7268F" w:rsidRPr="00D7268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(б) Оказала ли взаимосвязь между продавцом и покупателем влияние на цену, фактически уплаченную или подлежащую уплате за ввозимые товары?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ДА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НЕТ</w:t>
            </w:r>
          </w:p>
        </w:tc>
      </w:tr>
      <w:tr w:rsidR="00D7268F" w:rsidRPr="00D7268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(в) Стоимость сделки с ввозимыми товарами близка к одной из возможных проверочных величин, указанных в </w:t>
            </w:r>
            <w:hyperlink r:id="rId10" w:history="1">
              <w:r w:rsidRPr="00D7268F">
                <w:t>пункте 5 статьи 39</w:t>
              </w:r>
            </w:hyperlink>
            <w:r w:rsidRPr="00D7268F">
              <w:t xml:space="preserve"> Таможенного кодекса Евразийского экономического союза?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ДА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НЕТ</w:t>
            </w:r>
          </w:p>
        </w:tc>
      </w:tr>
      <w:tr w:rsidR="00D7268F" w:rsidRPr="00D7268F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8</w:t>
            </w:r>
          </w:p>
        </w:tc>
        <w:tc>
          <w:tcPr>
            <w:tcW w:w="7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(а) Имеются ли ОГРАНИЧЕНИЯ в отношении прав покупателя на пользование и распоряжение ввозимыми товарами, за исключением ограничений, которые:</w:t>
            </w:r>
          </w:p>
          <w:p w:rsidR="00D7268F" w:rsidRPr="00D7268F" w:rsidRDefault="00D7268F">
            <w:pPr>
              <w:pStyle w:val="ConsPlusNormal"/>
            </w:pPr>
            <w:r w:rsidRPr="00D7268F">
              <w:t>- ограничивают географический регион, в котором ввозимые товары могут быть перепроданы;</w:t>
            </w:r>
          </w:p>
          <w:p w:rsidR="00D7268F" w:rsidRPr="00D7268F" w:rsidRDefault="00D7268F">
            <w:pPr>
              <w:pStyle w:val="ConsPlusNormal"/>
            </w:pPr>
            <w:r w:rsidRPr="00D7268F">
              <w:t>- существенно не влияют на стоимость ввозимых товаров;</w:t>
            </w:r>
          </w:p>
          <w:p w:rsidR="00D7268F" w:rsidRPr="00D7268F" w:rsidRDefault="00D7268F">
            <w:pPr>
              <w:pStyle w:val="ConsPlusNormal"/>
            </w:pPr>
            <w:r w:rsidRPr="00D7268F">
              <w:t>- установлены актами органов Евразийского экономического союза или законодательством государств - членов Евразийского экономического союза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ДА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НЕТ</w:t>
            </w:r>
          </w:p>
        </w:tc>
      </w:tr>
      <w:tr w:rsidR="00D7268F" w:rsidRPr="00D7268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(б) Зависит ли продажа ввозимых товаров или их цена от соблюдения УСЛОВИЙ или ОБЯЗАТЕЛЬСТВ, оказывающих влияние на цену ввозимых товаров?</w:t>
            </w:r>
          </w:p>
          <w:p w:rsidR="00D7268F" w:rsidRPr="00D7268F" w:rsidRDefault="00D7268F">
            <w:pPr>
              <w:pStyle w:val="ConsPlusNormal"/>
            </w:pPr>
            <w:r w:rsidRPr="00D7268F">
              <w:t xml:space="preserve">Если влияние таких условий или обязательств на цену ввозимых товаров может быть количественно определено, сумма стоимостной оценки таких условий или обязательств указывается в </w:t>
            </w:r>
            <w:hyperlink w:anchor="Par101" w:tooltip="(б) косвенные платежи (условия или обязательства)" w:history="1">
              <w:r w:rsidRPr="00D7268F">
                <w:t>разделе "б" графы 11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ДА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НЕТ</w:t>
            </w:r>
          </w:p>
        </w:tc>
      </w:tr>
      <w:tr w:rsidR="00D7268F" w:rsidRPr="00D7268F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" w:name="Par57"/>
            <w:bookmarkEnd w:id="1"/>
            <w:r w:rsidRPr="00D7268F">
              <w:t>9</w:t>
            </w:r>
          </w:p>
        </w:tc>
        <w:tc>
          <w:tcPr>
            <w:tcW w:w="7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2" w:name="Par58"/>
            <w:bookmarkEnd w:id="2"/>
            <w:r w:rsidRPr="00D7268F">
              <w:t>(а) Предусмотрены ли ЛИЦЕНЗИОННЫЕ и иные подобные ПЛАТЕЖИ за использование объектов ИНТЕЛЛЕКТУАЛЬНОЙ СОБСТВЕННОСТИ,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союза?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ДА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НЕТ</w:t>
            </w:r>
          </w:p>
        </w:tc>
      </w:tr>
      <w:tr w:rsidR="00D7268F" w:rsidRPr="00D7268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3" w:name="Par61"/>
            <w:bookmarkEnd w:id="3"/>
            <w:r w:rsidRPr="00D7268F">
              <w:t>(б) Зависит ли продажа от соблюдения условия, в соответствии с которым ЧАСТЬ ДОХОДА (ВЫРУЧКИ), полученного в результате ПОСЛЕДУЮЩЕЙ ПРОДАЖИ, РАСПОРЯЖЕНИЯ иным способом или ИСПОЛЬЗОВАНИЯ ввозимых товаров, прямо или косвенно причитается продавцу?</w:t>
            </w:r>
          </w:p>
          <w:p w:rsidR="00D7268F" w:rsidRPr="00D7268F" w:rsidRDefault="00D7268F">
            <w:pPr>
              <w:pStyle w:val="ConsPlusNormal"/>
            </w:pPr>
            <w:r w:rsidRPr="00D7268F">
              <w:t xml:space="preserve">В случае ответа "ДА" на вопросы в </w:t>
            </w:r>
            <w:hyperlink w:anchor="Par58" w:tooltip="(а) Предусмотрены ли ЛИЦЕНЗИОННЫЕ и иные подобные ПЛАТЕЖИ за использование объектов ИНТЕЛЛЕКТУАЛЬНОЙ СОБСТВЕННОСТИ,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?" w:history="1">
              <w:r w:rsidRPr="00D7268F">
                <w:t>разделах "а"</w:t>
              </w:r>
            </w:hyperlink>
            <w:r w:rsidRPr="00D7268F">
              <w:t xml:space="preserve"> и (или) </w:t>
            </w:r>
            <w:hyperlink w:anchor="Par61" w:tooltip="(б) Зависит ли продажа от соблюдения условия, в соответствии с которым ЧАСТЬ ДОХОДА (ВЫРУЧКИ), полученного в результате ПОСЛЕДУЮЩЕЙ ПРОДАЖИ, РАСПОРЯЖЕНИЯ иным способом или ИСПОЛЬЗОВАНИЯ ввозимых товаров, прямо или косвенно причитается продавцу?" w:history="1">
              <w:r w:rsidRPr="00D7268F">
                <w:t>"б"</w:t>
              </w:r>
            </w:hyperlink>
            <w:r w:rsidRPr="00D7268F">
              <w:t xml:space="preserve"> в </w:t>
            </w:r>
            <w:hyperlink w:anchor="Par149" w:tooltip="15" w:history="1">
              <w:r w:rsidRPr="00D7268F">
                <w:t>графах 15</w:t>
              </w:r>
            </w:hyperlink>
            <w:r w:rsidRPr="00D7268F">
              <w:t xml:space="preserve"> и </w:t>
            </w:r>
            <w:hyperlink w:anchor="Par154" w:tooltip="16" w:history="1">
              <w:r w:rsidRPr="00D7268F">
                <w:t>16</w:t>
              </w:r>
            </w:hyperlink>
            <w:r w:rsidRPr="00D7268F">
              <w:t xml:space="preserve"> указываются соответствующие величины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ДА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743CA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68F" w:rsidRPr="00D7268F">
              <w:t xml:space="preserve"> НЕТ</w:t>
            </w:r>
          </w:p>
        </w:tc>
      </w:tr>
      <w:tr w:rsidR="00D7268F" w:rsidRPr="00D7268F">
        <w:tc>
          <w:tcPr>
            <w:tcW w:w="5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4" w:name="Par65"/>
            <w:bookmarkEnd w:id="4"/>
            <w:r w:rsidRPr="00D7268F">
              <w:t>&lt;*&gt; Лица являются взаимосвязанными исключительно в том случае, если они:</w:t>
            </w:r>
          </w:p>
          <w:p w:rsidR="00D7268F" w:rsidRPr="00D7268F" w:rsidRDefault="00D7268F">
            <w:pPr>
              <w:pStyle w:val="ConsPlusNormal"/>
            </w:pPr>
            <w:r w:rsidRPr="00D7268F">
              <w:t>(а) являются сотрудниками или директорами (руководителями) организаций друг друга;</w:t>
            </w:r>
          </w:p>
          <w:p w:rsidR="00D7268F" w:rsidRPr="00D7268F" w:rsidRDefault="00D7268F">
            <w:pPr>
              <w:pStyle w:val="ConsPlusNormal"/>
            </w:pPr>
            <w:r w:rsidRPr="00D7268F">
              <w:t>(б) являются юридически признанными деловыми партнерами, т.е. связаны договорными отношениями, действуют в целях извлечения прибыли и совместно несут расходы и убытки, связанные с осуществлением совместной деятельности;</w:t>
            </w:r>
          </w:p>
          <w:p w:rsidR="00D7268F" w:rsidRPr="00D7268F" w:rsidRDefault="00D7268F">
            <w:pPr>
              <w:pStyle w:val="ConsPlusNormal"/>
            </w:pPr>
            <w:r w:rsidRPr="00D7268F">
              <w:t>(в) являются работодателем и работником;</w:t>
            </w:r>
          </w:p>
          <w:p w:rsidR="00D7268F" w:rsidRPr="00D7268F" w:rsidRDefault="00D7268F">
            <w:pPr>
              <w:pStyle w:val="ConsPlusNormal"/>
            </w:pPr>
            <w:r w:rsidRPr="00D7268F">
              <w:t>(г) какое-либо лицо прямо или косвенно владеет, контролирует или является держателем 5 или более процентов выпущенных в обращение голосующих акций обоих из них;</w:t>
            </w:r>
          </w:p>
          <w:p w:rsidR="00D7268F" w:rsidRPr="00D7268F" w:rsidRDefault="00D7268F">
            <w:pPr>
              <w:pStyle w:val="ConsPlusNormal"/>
            </w:pPr>
            <w:r w:rsidRPr="00D7268F">
              <w:t>(д) одно из них прямо или косвенно контролирует другое;</w:t>
            </w:r>
          </w:p>
          <w:p w:rsidR="00D7268F" w:rsidRPr="00D7268F" w:rsidRDefault="00D7268F">
            <w:pPr>
              <w:pStyle w:val="ConsPlusNormal"/>
            </w:pPr>
            <w:r w:rsidRPr="00D7268F">
              <w:t>(е) оба они прямо или косвенно контролируются третьим лицом;</w:t>
            </w:r>
          </w:p>
          <w:p w:rsidR="00D7268F" w:rsidRPr="00D7268F" w:rsidRDefault="00D7268F">
            <w:pPr>
              <w:pStyle w:val="ConsPlusNormal"/>
            </w:pPr>
            <w:r w:rsidRPr="00D7268F">
              <w:t>(ж) вместе они прямо или косвенно контролируют третье лицо;</w:t>
            </w:r>
          </w:p>
          <w:p w:rsidR="00D7268F" w:rsidRPr="00D7268F" w:rsidRDefault="00D7268F">
            <w:pPr>
              <w:pStyle w:val="ConsPlusNormal"/>
            </w:pPr>
            <w:r w:rsidRPr="00D7268F">
              <w:t>(з) являются родственниками или членами одной семьи.</w:t>
            </w:r>
          </w:p>
          <w:p w:rsidR="00D7268F" w:rsidRPr="00D7268F" w:rsidRDefault="00D7268F">
            <w:pPr>
              <w:pStyle w:val="ConsPlusNormal"/>
            </w:pPr>
            <w:r w:rsidRPr="00D7268F">
              <w:t>Факт взаимосвязи сам по себе не должен являться основанием для признания стоимости сделки неприемлемой для определения таможенной стоимости товаров (</w:t>
            </w:r>
            <w:hyperlink r:id="rId11" w:history="1">
              <w:r w:rsidRPr="00D7268F">
                <w:t>пункт 4 статьи 39</w:t>
              </w:r>
            </w:hyperlink>
            <w:r w:rsidRPr="00D7268F">
              <w:t xml:space="preserve"> Таможенного кодекса Евразийского </w:t>
            </w:r>
            <w:r w:rsidRPr="00D7268F">
              <w:lastRenderedPageBreak/>
              <w:t>экономического союза).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lastRenderedPageBreak/>
              <w:t>10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(а) Количество добавочных листов</w:t>
            </w:r>
          </w:p>
        </w:tc>
      </w:tr>
      <w:tr w:rsidR="00D7268F" w:rsidRPr="00D7268F">
        <w:tc>
          <w:tcPr>
            <w:tcW w:w="5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  <w:tc>
          <w:tcPr>
            <w:tcW w:w="48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(б) Сведения о лице, заполнившем ДТС</w:t>
            </w:r>
          </w:p>
        </w:tc>
      </w:tr>
    </w:tbl>
    <w:p w:rsidR="00D7268F" w:rsidRPr="00D7268F" w:rsidRDefault="00D7268F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698"/>
        <w:gridCol w:w="431"/>
        <w:gridCol w:w="2231"/>
        <w:gridCol w:w="2100"/>
        <w:gridCol w:w="1567"/>
        <w:gridCol w:w="340"/>
        <w:gridCol w:w="1319"/>
        <w:gridCol w:w="340"/>
        <w:gridCol w:w="1304"/>
      </w:tblGrid>
      <w:tr w:rsidR="00D7268F" w:rsidRPr="00D7268F"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Метод 1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999" w:type="dxa"/>
            <w:gridSpan w:val="3"/>
            <w:tcBorders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right"/>
            </w:pPr>
            <w:r w:rsidRPr="00D7268F">
              <w:t>Форма ДТС-1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jc w:val="right"/>
            </w:pPr>
            <w:r w:rsidRPr="00D7268F">
              <w:t>Лист N ___</w:t>
            </w:r>
          </w:p>
        </w:tc>
      </w:tr>
      <w:tr w:rsidR="00D7268F" w:rsidRPr="00D7268F">
        <w:tc>
          <w:tcPr>
            <w:tcW w:w="59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  <w:r w:rsidRPr="00D7268F">
              <w:t>ДЛЯ ОТМЕТОК ТАМОЖЕННОГО ОРГАНА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  <w:r w:rsidRPr="00D7268F">
              <w:t>Товар N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  <w:r w:rsidRPr="00D7268F">
              <w:t>Товар N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  <w:r w:rsidRPr="00D7268F">
              <w:t>Товар N</w:t>
            </w:r>
          </w:p>
        </w:tc>
      </w:tr>
      <w:tr w:rsidR="00D7268F" w:rsidRPr="00D7268F">
        <w:tc>
          <w:tcPr>
            <w:tcW w:w="5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  <w:r w:rsidRPr="00D7268F">
              <w:t>Код ТН ВЭД ЕАЭС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  <w:r w:rsidRPr="00D7268F">
              <w:t>Код ТН ВЭД ЕАЭС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  <w:r w:rsidRPr="00D7268F">
              <w:t>Код ТН ВЭД ЕАЭС</w:t>
            </w:r>
          </w:p>
        </w:tc>
      </w:tr>
      <w:tr w:rsidR="00D7268F" w:rsidRPr="00D7268F"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ОСНОВА ДЛЯ РАСЧЕТА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11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5" w:name="Par92"/>
            <w:bookmarkEnd w:id="5"/>
            <w:r w:rsidRPr="00D7268F">
              <w:t>(а) цена, фактически уплаченная или подлежащая уплате за ввозимые товары в ВАЛЮТЕ СЧЕТА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в НАЦИОНАЛЬНОЙ ВАЛЮТЕ</w:t>
            </w:r>
          </w:p>
          <w:p w:rsidR="00D7268F" w:rsidRPr="00D7268F" w:rsidRDefault="00D7268F">
            <w:pPr>
              <w:pStyle w:val="ConsPlusNormal"/>
            </w:pPr>
            <w:r w:rsidRPr="00D7268F">
              <w:t>(курс пересчета ___________________)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6" w:name="Par101"/>
            <w:bookmarkEnd w:id="6"/>
            <w:r w:rsidRPr="00D7268F">
              <w:t>(б) косвенные платежи (условия или обязательства)</w:t>
            </w:r>
          </w:p>
          <w:p w:rsidR="00D7268F" w:rsidRPr="00D7268F" w:rsidRDefault="00D7268F">
            <w:pPr>
              <w:pStyle w:val="ConsPlusNormal"/>
            </w:pPr>
            <w:r w:rsidRPr="00D7268F">
              <w:t>в НАЦИОНАЛЬНОЙ ВАЛЮТЕ</w:t>
            </w:r>
          </w:p>
          <w:p w:rsidR="00D7268F" w:rsidRPr="00D7268F" w:rsidRDefault="00D7268F">
            <w:pPr>
              <w:pStyle w:val="ConsPlusNormal"/>
            </w:pPr>
            <w:r w:rsidRPr="00D7268F">
              <w:t>(курс пересчета ___________________)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7" w:name="Par107"/>
            <w:bookmarkEnd w:id="7"/>
            <w:r w:rsidRPr="00D7268F">
              <w:t>12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Итого по разделам </w:t>
            </w:r>
            <w:hyperlink w:anchor="Par92" w:tooltip="(а) цена, фактически уплаченная или подлежащая уплате за ввозимые товары в ВАЛЮТЕ СЧЕТА" w:history="1">
              <w:r w:rsidRPr="00D7268F">
                <w:t>"а"</w:t>
              </w:r>
            </w:hyperlink>
            <w:r w:rsidRPr="00D7268F">
              <w:t xml:space="preserve"> и </w:t>
            </w:r>
            <w:hyperlink w:anchor="Par101" w:tooltip="(б) косвенные платежи (условия или обязательства)" w:history="1">
              <w:r w:rsidRPr="00D7268F">
                <w:t>"б" графы 11</w:t>
              </w:r>
            </w:hyperlink>
            <w:r w:rsidRPr="00D7268F">
              <w:t xml:space="preserve"> в национальной валюте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ДОПОЛНИТЕЛЬНЫЕ НАЧИСЛЕНИЯ:</w:t>
            </w:r>
          </w:p>
          <w:p w:rsidR="00D7268F" w:rsidRPr="00D7268F" w:rsidRDefault="00D7268F">
            <w:pPr>
              <w:pStyle w:val="ConsPlusNormal"/>
            </w:pPr>
            <w:r w:rsidRPr="00D7268F">
              <w:t xml:space="preserve">расходы в национальной валюте, которые не включены </w:t>
            </w:r>
            <w:r w:rsidRPr="00D7268F">
              <w:lastRenderedPageBreak/>
              <w:t xml:space="preserve">в </w:t>
            </w:r>
            <w:hyperlink w:anchor="Par107" w:tooltip="12" w:history="1">
              <w:r w:rsidRPr="00D7268F">
                <w:t>графу 12</w:t>
              </w:r>
            </w:hyperlink>
            <w:r w:rsidRPr="00D7268F">
              <w:t xml:space="preserve"> </w:t>
            </w:r>
            <w:hyperlink w:anchor="Par211" w:tooltip="&lt;*&gt; Если сумма оплачена в иностранной валюте, указываются сумма в иностранной валюте и курс пересчета по каждому товару и графе." w:history="1">
              <w:r w:rsidRPr="00D7268F">
                <w:t>&lt;*&gt;</w:t>
              </w:r>
            </w:hyperlink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8" w:name="Par114"/>
            <w:bookmarkEnd w:id="8"/>
            <w:r w:rsidRPr="00D7268F">
              <w:lastRenderedPageBreak/>
              <w:t>13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Расходы, осуществленные покупателем на:</w:t>
            </w:r>
          </w:p>
          <w:p w:rsidR="00D7268F" w:rsidRPr="00D7268F" w:rsidRDefault="00D7268F">
            <w:pPr>
              <w:pStyle w:val="ConsPlusNormal"/>
            </w:pPr>
            <w:r w:rsidRPr="00D7268F">
              <w:t>(а) вознаграждение агенту (посреднику), брокеру, за исключением вознаграждений за закупку ввозимых товаров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(б) тару и упаковку, в том числе стоимость упаковочных материалов и работ по упаковке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14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Соответствующим образом распределенная стоимость следующих </w:t>
            </w:r>
            <w:r w:rsidRPr="00D7268F">
              <w:lastRenderedPageBreak/>
              <w:t>товаров и услуг,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Евразийского экономического союза, в размере, не включенном в цену, фактически уплаченную или подлежащую уплате: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(а) сырье, материалы, детали, полуфабрикаты и иные товары, из которых произведены (состоят) ввозимые товары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both"/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both"/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both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(б) инструменты, штампы, формы и иные подобные товары, использованные при производстве ввозимых товаров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(в) материалы, израсходованные при производстве ввозимых товаров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(г) проектирование, разработка, инженерная, конструкторская работа, художественное оформление, дизайн, эскизы и чертежи, выполненные вне таможенной территории Евразийского экономического союза и необходимые для производства ввозимых товаров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9" w:name="Par149"/>
            <w:bookmarkEnd w:id="9"/>
            <w:r w:rsidRPr="00D7268F">
              <w:t>15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Лицензионные и иные подобные платежи за использование объектов интеллектуальной собственности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0" w:name="Par154"/>
            <w:bookmarkEnd w:id="10"/>
            <w:r w:rsidRPr="00D7268F">
              <w:t>16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Часть дохода (выручки), полученного в результате последующей продажи, </w:t>
            </w:r>
            <w:r w:rsidRPr="00D7268F">
              <w:lastRenderedPageBreak/>
              <w:t>распоряжения иным способом или использования ввозимых товаров, которая прямо или косвенно причитается продавцу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1" w:name="Par159"/>
            <w:bookmarkEnd w:id="11"/>
            <w:r w:rsidRPr="00D7268F">
              <w:t>17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Расходы на перевозку (транспортировку) ввозимых товаров до __________________________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2" w:name="Par164"/>
            <w:bookmarkEnd w:id="12"/>
            <w:r w:rsidRPr="00D7268F">
              <w:t>18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Расходы на погрузку, разгрузку или перегрузку ввозимых товаров и проведение иных операций, связанных с их перевозкой (транспортировкой)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3" w:name="Par169"/>
            <w:bookmarkEnd w:id="13"/>
            <w:r w:rsidRPr="00D7268F">
              <w:t>19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Расходы на страхование в связи с операциями, указанными в </w:t>
            </w:r>
            <w:hyperlink w:anchor="Par159" w:tooltip="17" w:history="1">
              <w:r w:rsidRPr="00D7268F">
                <w:t>графах 17</w:t>
              </w:r>
            </w:hyperlink>
            <w:r w:rsidRPr="00D7268F">
              <w:t xml:space="preserve"> и </w:t>
            </w:r>
            <w:hyperlink w:anchor="Par164" w:tooltip="18" w:history="1">
              <w:r w:rsidRPr="00D7268F">
                <w:t>18</w:t>
              </w:r>
            </w:hyperlink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4" w:name="Par174"/>
            <w:bookmarkEnd w:id="14"/>
            <w:r w:rsidRPr="00D7268F">
              <w:t>20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Итого по </w:t>
            </w:r>
            <w:hyperlink w:anchor="Par114" w:tooltip="13" w:history="1">
              <w:r w:rsidRPr="00D7268F">
                <w:t>графам 13</w:t>
              </w:r>
            </w:hyperlink>
            <w:r w:rsidRPr="00D7268F">
              <w:t xml:space="preserve"> - </w:t>
            </w:r>
            <w:hyperlink w:anchor="Par169" w:tooltip="19" w:history="1">
              <w:r w:rsidRPr="00D7268F">
                <w:t>19</w:t>
              </w:r>
            </w:hyperlink>
            <w:r w:rsidRPr="00D7268F">
              <w:t xml:space="preserve"> в национальной валюте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ВЫЧЕТЫ:</w:t>
            </w:r>
          </w:p>
          <w:p w:rsidR="00D7268F" w:rsidRPr="00D7268F" w:rsidRDefault="00D7268F">
            <w:pPr>
              <w:pStyle w:val="ConsPlusNormal"/>
            </w:pPr>
            <w:r w:rsidRPr="00D7268F">
              <w:t xml:space="preserve">расходы в национальной валюте, которые включены в </w:t>
            </w:r>
            <w:hyperlink w:anchor="Par107" w:tooltip="12" w:history="1">
              <w:r w:rsidRPr="00D7268F">
                <w:t>графу 12</w:t>
              </w:r>
            </w:hyperlink>
            <w:r w:rsidRPr="00D7268F">
              <w:t xml:space="preserve"> </w:t>
            </w:r>
            <w:hyperlink w:anchor="Par211" w:tooltip="&lt;*&gt; Если сумма оплачена в иностранной валюте, указываются сумма в иностранной валюте и курс пересчета по каждому товару и графе." w:history="1">
              <w:r w:rsidRPr="00D7268F">
                <w:t>&lt;*&gt;</w:t>
              </w:r>
            </w:hyperlink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5" w:name="Par181"/>
            <w:bookmarkEnd w:id="15"/>
            <w:r w:rsidRPr="00D7268F">
              <w:t>21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Евразийского экономического союза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22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Расходы на перевозку (транспортировку) ввозимых товаров по таможенной территории Евразийского экономического союза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6" w:name="Par191"/>
            <w:bookmarkEnd w:id="16"/>
            <w:r w:rsidRPr="00D7268F">
              <w:t>23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Сумма пошлин, налогов и сборов, уплачиваемых в связи с ввозом товаров на таможенную территорию Евразийского экономического союза </w:t>
            </w:r>
            <w:r w:rsidRPr="00D7268F">
              <w:lastRenderedPageBreak/>
              <w:t>или продажей товаров на такой таможенной территории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7" w:name="Par196"/>
            <w:bookmarkEnd w:id="17"/>
            <w:r w:rsidRPr="00D7268F">
              <w:t>24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 xml:space="preserve">Итого по </w:t>
            </w:r>
            <w:hyperlink w:anchor="Par181" w:tooltip="21" w:history="1">
              <w:r w:rsidRPr="00D7268F">
                <w:t>графам 21</w:t>
              </w:r>
            </w:hyperlink>
            <w:r w:rsidRPr="00D7268F">
              <w:t xml:space="preserve"> - </w:t>
            </w:r>
            <w:hyperlink w:anchor="Par191" w:tooltip="23" w:history="1">
              <w:r w:rsidRPr="00D7268F">
                <w:t>23</w:t>
              </w:r>
            </w:hyperlink>
            <w:r w:rsidRPr="00D7268F">
              <w:t xml:space="preserve"> в национальной валюте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25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Таможенная стоимость ввозимых товаров (</w:t>
            </w:r>
            <w:hyperlink w:anchor="Par107" w:tooltip="12" w:history="1">
              <w:r w:rsidRPr="00D7268F">
                <w:t>12</w:t>
              </w:r>
            </w:hyperlink>
            <w:r w:rsidRPr="00D7268F">
              <w:t xml:space="preserve"> + </w:t>
            </w:r>
            <w:hyperlink w:anchor="Par174" w:tooltip="20" w:history="1">
              <w:r w:rsidRPr="00D7268F">
                <w:t>20</w:t>
              </w:r>
            </w:hyperlink>
            <w:r w:rsidRPr="00D7268F">
              <w:t xml:space="preserve"> - </w:t>
            </w:r>
            <w:hyperlink w:anchor="Par196" w:tooltip="24" w:history="1">
              <w:r w:rsidRPr="00D7268F">
                <w:t>24</w:t>
              </w:r>
            </w:hyperlink>
            <w:r w:rsidRPr="00D7268F">
              <w:t>):</w:t>
            </w:r>
          </w:p>
          <w:p w:rsidR="00D7268F" w:rsidRPr="00D7268F" w:rsidRDefault="00D7268F">
            <w:pPr>
              <w:pStyle w:val="ConsPlusNormal"/>
            </w:pPr>
            <w:r w:rsidRPr="00D7268F">
              <w:t>(а) в НАЦИОНАЛЬНОЙ ВАЛЮТЕ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68F" w:rsidRPr="00D7268F" w:rsidRDefault="00D7268F">
            <w:pPr>
              <w:pStyle w:val="ConsPlusNormal"/>
              <w:ind w:firstLine="540"/>
              <w:jc w:val="both"/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(б) в ДОЛЛАРАХ США (курс пересчета _______)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108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bookmarkStart w:id="18" w:name="Par211"/>
            <w:bookmarkEnd w:id="18"/>
            <w:r w:rsidRPr="00D7268F">
              <w:t>&lt;*&gt; Если сумма оплачена в иностранной валюте, указываются сумма в иностранной валюте и курс пересчета по каждому товару и графе.</w:t>
            </w:r>
          </w:p>
        </w:tc>
      </w:tr>
      <w:tr w:rsidR="00D7268F" w:rsidRPr="00D7268F">
        <w:tc>
          <w:tcPr>
            <w:tcW w:w="3853" w:type="dxa"/>
            <w:gridSpan w:val="4"/>
            <w:tcBorders>
              <w:lef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Порядковй номер товара в ДТС-1 и номер графы ДТС-1</w:t>
            </w:r>
          </w:p>
        </w:tc>
        <w:tc>
          <w:tcPr>
            <w:tcW w:w="4007" w:type="dxa"/>
            <w:gridSpan w:val="3"/>
          </w:tcPr>
          <w:p w:rsidR="00D7268F" w:rsidRPr="00D7268F" w:rsidRDefault="00D7268F">
            <w:pPr>
              <w:pStyle w:val="ConsPlusNormal"/>
            </w:pPr>
            <w:r w:rsidRPr="00D7268F">
              <w:t>Буквенный код валюты, сумма</w:t>
            </w:r>
          </w:p>
        </w:tc>
        <w:tc>
          <w:tcPr>
            <w:tcW w:w="2963" w:type="dxa"/>
            <w:gridSpan w:val="3"/>
            <w:tcBorders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right"/>
            </w:pPr>
            <w:r w:rsidRPr="00D7268F">
              <w:t>Курс пересчета</w:t>
            </w:r>
          </w:p>
        </w:tc>
      </w:tr>
      <w:tr w:rsidR="00D7268F" w:rsidRPr="00D7268F">
        <w:tc>
          <w:tcPr>
            <w:tcW w:w="1082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</w:p>
        </w:tc>
      </w:tr>
      <w:tr w:rsidR="00D7268F" w:rsidRPr="00D7268F">
        <w:tc>
          <w:tcPr>
            <w:tcW w:w="7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Дополнительные данные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</w:pPr>
            <w:r w:rsidRPr="00D7268F">
              <w:t>Дата, подпись, печать</w:t>
            </w:r>
          </w:p>
        </w:tc>
      </w:tr>
      <w:tr w:rsidR="00D7268F" w:rsidRPr="00D7268F">
        <w:tc>
          <w:tcPr>
            <w:tcW w:w="7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both"/>
            </w:pPr>
          </w:p>
        </w:tc>
        <w:tc>
          <w:tcPr>
            <w:tcW w:w="33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8F" w:rsidRPr="00D7268F" w:rsidRDefault="00D7268F">
            <w:pPr>
              <w:pStyle w:val="ConsPlusNormal"/>
              <w:jc w:val="center"/>
            </w:pPr>
          </w:p>
        </w:tc>
      </w:tr>
    </w:tbl>
    <w:p w:rsidR="00D7268F" w:rsidRPr="00D7268F" w:rsidRDefault="00D7268F">
      <w:pPr>
        <w:pStyle w:val="ConsPlusNormal"/>
        <w:ind w:firstLine="540"/>
        <w:jc w:val="both"/>
      </w:pPr>
    </w:p>
    <w:p w:rsidR="00D7268F" w:rsidRPr="00D7268F" w:rsidRDefault="00D7268F">
      <w:pPr>
        <w:pStyle w:val="ConsPlusNormal"/>
        <w:ind w:firstLine="540"/>
        <w:jc w:val="both"/>
      </w:pPr>
    </w:p>
    <w:p w:rsidR="00D7268F" w:rsidRPr="00D7268F" w:rsidRDefault="00D726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268F" w:rsidRPr="00D7268F">
      <w:pgSz w:w="16838" w:h="11906" w:orient="landscape"/>
      <w:pgMar w:top="1133" w:right="1440" w:bottom="566" w:left="1440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FBD" w:rsidRDefault="00146FBD">
      <w:pPr>
        <w:spacing w:after="0" w:line="240" w:lineRule="auto"/>
      </w:pPr>
      <w:r>
        <w:separator/>
      </w:r>
    </w:p>
  </w:endnote>
  <w:endnote w:type="continuationSeparator" w:id="1">
    <w:p w:rsidR="00146FBD" w:rsidRDefault="0014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FBD" w:rsidRDefault="00146FBD">
      <w:pPr>
        <w:spacing w:after="0" w:line="240" w:lineRule="auto"/>
      </w:pPr>
      <w:r>
        <w:separator/>
      </w:r>
    </w:p>
  </w:footnote>
  <w:footnote w:type="continuationSeparator" w:id="1">
    <w:p w:rsidR="00146FBD" w:rsidRDefault="00146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A05AB"/>
    <w:rsid w:val="00146FBD"/>
    <w:rsid w:val="00743CA7"/>
    <w:rsid w:val="007A05AB"/>
    <w:rsid w:val="00AF40EC"/>
    <w:rsid w:val="00D7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726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7268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726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726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5315&amp;date=11.09.2019&amp;dst=100413&amp;f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5315&amp;date=11.09.2019&amp;dst=101054&amp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9367&amp;date=11.09.2019" TargetMode="External"/><Relationship Id="rId11" Type="http://schemas.openxmlformats.org/officeDocument/2006/relationships/hyperlink" Target="https://login.consultant.ru/link/?req=doc&amp;base=LAW&amp;n=215315&amp;date=11.09.2019&amp;dst=100472&amp;fld=13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215315&amp;date=11.09.2019&amp;dst=100473&amp;fld=13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1473</Words>
  <Characters>8402</Characters>
  <Application>Microsoft Office Word</Application>
  <DocSecurity>2</DocSecurity>
  <Lines>70</Lines>
  <Paragraphs>19</Paragraphs>
  <ScaleCrop>false</ScaleCrop>
  <Company>КонсультантПлюс Версия 4018.00.50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таможенной стоимости ДТС-1. Форма N ДТС-1(Решение Коллегии Евразийской экономической комиссии от 16.10.2018 N 160)</dc:title>
  <dc:creator>1</dc:creator>
  <cp:lastModifiedBy>1</cp:lastModifiedBy>
  <cp:revision>2</cp:revision>
  <dcterms:created xsi:type="dcterms:W3CDTF">2019-09-11T10:31:00Z</dcterms:created>
  <dcterms:modified xsi:type="dcterms:W3CDTF">2019-09-11T10:31:00Z</dcterms:modified>
</cp:coreProperties>
</file>