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847E5" w:rsidRDefault="00C02A05">
      <w:pPr>
        <w:pStyle w:val="ConsPlusNormal"/>
        <w:jc w:val="both"/>
        <w:outlineLvl w:val="0"/>
      </w:pPr>
    </w:p>
    <w:p w:rsidR="00000000" w:rsidRPr="00E847E5" w:rsidRDefault="00C02A05">
      <w:pPr>
        <w:pStyle w:val="ConsPlusNonformat"/>
        <w:spacing w:before="260"/>
        <w:jc w:val="both"/>
      </w:pPr>
      <w:r w:rsidRPr="00E847E5">
        <w:t xml:space="preserve">                      ДЕКЛАРАЦИЯ ТАМОЖЕННОЙ СТОИМОСТИ</w:t>
      </w:r>
    </w:p>
    <w:p w:rsidR="00000000" w:rsidRPr="00E847E5" w:rsidRDefault="00C02A05">
      <w:pPr>
        <w:pStyle w:val="ConsPlusNonformat"/>
        <w:jc w:val="both"/>
      </w:pPr>
    </w:p>
    <w:p w:rsidR="00000000" w:rsidRPr="00E847E5" w:rsidRDefault="00C02A05">
      <w:pPr>
        <w:pStyle w:val="ConsPlusNonformat"/>
        <w:jc w:val="both"/>
      </w:pPr>
      <w:r w:rsidRPr="00E847E5">
        <w:t xml:space="preserve">                                                                </w:t>
      </w:r>
      <w:hyperlink r:id="rId6" w:history="1">
        <w:r w:rsidRPr="00E847E5">
          <w:t>Форма ДТС-4</w:t>
        </w:r>
      </w:hyperlink>
    </w:p>
    <w:p w:rsidR="00000000" w:rsidRPr="00E847E5" w:rsidRDefault="00C02A05">
      <w:pPr>
        <w:pStyle w:val="ConsPlusNonformat"/>
        <w:jc w:val="both"/>
      </w:pPr>
    </w:p>
    <w:p w:rsidR="00000000" w:rsidRPr="00E847E5" w:rsidRDefault="00C02A05">
      <w:pPr>
        <w:pStyle w:val="ConsPlusNonformat"/>
        <w:jc w:val="both"/>
      </w:pPr>
      <w:r w:rsidRPr="00E847E5">
        <w:t>┌──────────────────────────────────────────┬──────────────────────────────┐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1   Продавец Общество с ограниченной      </w:t>
      </w:r>
      <w:r w:rsidRPr="00E847E5">
        <w:t>│</w:t>
      </w:r>
      <w:r w:rsidRPr="00E847E5">
        <w:t>ДЛЯ ОТМЕТОК ТАМОЖЕННОГО ОРГАНА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>от</w:t>
      </w:r>
      <w:r w:rsidRPr="00E847E5">
        <w:t>ветственностью "Дон", ОГРН 771111111111,</w:t>
      </w:r>
      <w:r w:rsidRPr="00E847E5">
        <w:t>│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ИНН 7711222222, КПП 771101001,            </w:t>
      </w:r>
      <w:r w:rsidRPr="00E847E5">
        <w:t>│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г. Москва, ул. Полярная, д. 5             </w:t>
      </w:r>
      <w:r w:rsidRPr="00E847E5">
        <w:t>│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</w:t>
      </w:r>
      <w:r w:rsidRPr="00E847E5">
        <w:t>────────────┤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>2  (а) Покупатель  Общество с ограниченной</w:t>
      </w:r>
      <w:r w:rsidRPr="00E847E5">
        <w:t>│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ответственностью "Стан",                  </w:t>
      </w:r>
      <w:r w:rsidRPr="00E847E5">
        <w:t>│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г. Москва, ул. Широкая, д. 34             </w:t>
      </w:r>
      <w:r w:rsidRPr="00E847E5">
        <w:t>│</w:t>
      </w:r>
      <w:r w:rsidRPr="00E847E5">
        <w:t xml:space="preserve">               </w:t>
      </w:r>
      <w:r w:rsidRPr="00E847E5">
        <w:t xml:space="preserve">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├──────────────────────────────────────────┤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(б) Декларант Общество с ограниченной  </w:t>
      </w:r>
      <w:r w:rsidRPr="00E847E5">
        <w:t>├──────────────────────────────┤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ответственностью "Прайм",                 </w:t>
      </w:r>
      <w:r w:rsidRPr="00E847E5">
        <w:t>│</w:t>
      </w:r>
      <w:r w:rsidRPr="00E847E5">
        <w:t xml:space="preserve">3 Условия поставки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>ОГРН 77112</w:t>
      </w:r>
      <w:r w:rsidRPr="00E847E5">
        <w:t xml:space="preserve">2222222, ИНН 7711333333,        </w:t>
      </w:r>
      <w:r w:rsidRPr="00E847E5">
        <w:t>│</w:t>
      </w:r>
      <w:r w:rsidRPr="00E847E5">
        <w:t xml:space="preserve">  CIP-Москва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КПП 771101001, г. Москва, ул. Яблочкова,  </w:t>
      </w:r>
      <w:r w:rsidRPr="00E847E5">
        <w:t>│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д. 8                                     </w:t>
      </w:r>
      <w:r w:rsidRPr="00E847E5">
        <w:t>│</w:t>
      </w:r>
      <w:r w:rsidRPr="00E847E5">
        <w:t xml:space="preserve">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├──────────────────────────────────────</w:t>
      </w:r>
      <w:r w:rsidRPr="00E847E5">
        <w:t>────┴─────┬────────────────────────┤</w:t>
      </w:r>
    </w:p>
    <w:p w:rsidR="00000000" w:rsidRPr="00E847E5" w:rsidRDefault="00C02A05">
      <w:pPr>
        <w:pStyle w:val="ConsPlusNonformat"/>
        <w:jc w:val="both"/>
      </w:pPr>
      <w:bookmarkStart w:id="0" w:name="Par22"/>
      <w:bookmarkEnd w:id="0"/>
      <w:r w:rsidRPr="00E847E5">
        <w:t>│</w:t>
      </w:r>
      <w:r w:rsidRPr="00E847E5">
        <w:t xml:space="preserve">ВАЖНАЯ ИНФОРМАЦИЯ                               </w:t>
      </w:r>
      <w:r w:rsidRPr="00E847E5">
        <w:t>│</w:t>
      </w:r>
      <w:r w:rsidRPr="00E847E5">
        <w:t xml:space="preserve">4 Вид, номер и дата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</w:t>
      </w:r>
      <w:r w:rsidRPr="00E847E5">
        <w:t>│</w:t>
      </w:r>
      <w:r w:rsidRPr="00E847E5">
        <w:t xml:space="preserve">документа, являющегося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В соответствии с законодательством Российской   </w:t>
      </w:r>
      <w:r w:rsidRPr="00E847E5">
        <w:t>│</w:t>
      </w:r>
      <w:r w:rsidRPr="00E847E5">
        <w:t xml:space="preserve">основанием для поставки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Федерации декларант отвечает за достоверность   </w:t>
      </w:r>
      <w:r w:rsidRPr="00E847E5">
        <w:t>│</w:t>
      </w:r>
      <w:r w:rsidRPr="00E847E5">
        <w:t xml:space="preserve">товара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сведений, указанных в настоящей декларации и в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документах, предоставленных для их              </w:t>
      </w:r>
      <w:r w:rsidRPr="00E847E5">
        <w:t>│</w:t>
      </w:r>
      <w:r w:rsidRPr="00E847E5">
        <w:t xml:space="preserve">счет N 45-693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>п</w:t>
      </w:r>
      <w:r w:rsidRPr="00E847E5">
        <w:t xml:space="preserve">одтверждения. Декларант обязан также           </w:t>
      </w:r>
      <w:r w:rsidRPr="00E847E5">
        <w:t>│</w:t>
      </w:r>
      <w:r w:rsidRPr="00E847E5">
        <w:t xml:space="preserve">от 10.02.2016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представить при необходимости соответствующую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дополнительную информацию и необходимые 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>документы, подтверждающие исп</w:t>
      </w:r>
      <w:r w:rsidRPr="00E847E5">
        <w:t xml:space="preserve">ользованные для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определения заявленной таможенной стоимости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сведения.                               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├────────────────────────────────────────────────┴────────</w:t>
      </w:r>
      <w:r w:rsidRPr="00E847E5">
        <w:t>────────────────┤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5  Номер и дата документа с принятыми ранее таможенными органами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решениями по ранее вывезенным товарам по документу, указанному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в </w:t>
      </w:r>
      <w:hyperlink w:anchor="Par22" w:tooltip=" ВАЖНАЯ ИНФОРМАЦИЯ                                4 Вид, номер и дата      " w:history="1">
        <w:r w:rsidRPr="00E847E5">
          <w:t>графе 4</w:t>
        </w:r>
      </w:hyperlink>
      <w:r w:rsidRPr="00E847E5">
        <w:t xml:space="preserve">                               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├─────────────────────────────────────────────────────┬───────────────────┤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6  Таможенная стоимость декларируемых товаров       </w:t>
      </w:r>
      <w:r w:rsidRPr="00E847E5">
        <w:t>│</w:t>
      </w:r>
      <w:r w:rsidRPr="00E847E5">
        <w:t xml:space="preserve">                </w:t>
      </w:r>
      <w:r w:rsidRPr="00E847E5">
        <w:t>┌─┐│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опреде</w:t>
      </w:r>
      <w:r w:rsidRPr="00E847E5">
        <w:t xml:space="preserve">ляется по методу                           </w:t>
      </w:r>
      <w:r w:rsidRPr="00E847E5">
        <w:t>│</w:t>
      </w:r>
      <w:r w:rsidRPr="00E847E5">
        <w:t xml:space="preserve">Верное отметить </w:t>
      </w:r>
      <w:r w:rsidRPr="00E847E5">
        <w:t>│</w:t>
      </w:r>
      <w:r w:rsidRPr="00E847E5">
        <w:t>X</w:t>
      </w:r>
      <w:r w:rsidRPr="00E847E5">
        <w:t>││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</w:t>
      </w:r>
      <w:r w:rsidRPr="00E847E5">
        <w:t>│</w:t>
      </w:r>
      <w:r w:rsidRPr="00E847E5">
        <w:t xml:space="preserve">                </w:t>
      </w:r>
      <w:r w:rsidRPr="00E847E5">
        <w:t>└─┘│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</w:t>
      </w:r>
      <w:r w:rsidRPr="00E847E5">
        <w:t>└───────────────────┤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</w:t>
      </w:r>
      <w:r w:rsidRPr="00E847E5">
        <w:t xml:space="preserve">                        </w:t>
      </w:r>
      <w:r w:rsidRPr="00E847E5">
        <w:t>┌─┐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(а) по стоимости сделки с идентичными товарами            </w:t>
      </w:r>
      <w:r w:rsidRPr="00E847E5">
        <w:t>│</w:t>
      </w:r>
      <w:r w:rsidRPr="00E847E5">
        <w:t>X</w:t>
      </w:r>
      <w:r w:rsidRPr="00E847E5">
        <w:t>│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     </w:t>
      </w:r>
      <w:r w:rsidRPr="00E847E5">
        <w:t>└─┘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     </w:t>
      </w:r>
      <w:r w:rsidRPr="00E847E5">
        <w:t>┌─┐</w:t>
      </w:r>
      <w:r w:rsidRPr="00E847E5">
        <w:t xml:space="preserve"> </w:t>
      </w:r>
      <w:r w:rsidRPr="00E847E5">
        <w:t xml:space="preserve">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(б) по стоимости сделки с однородными товарами            </w:t>
      </w:r>
      <w:r w:rsidRPr="00E847E5">
        <w:t>│</w:t>
      </w:r>
      <w:r w:rsidRPr="00E847E5">
        <w:t xml:space="preserve"> </w:t>
      </w:r>
      <w:r w:rsidRPr="00E847E5">
        <w:t>│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     </w:t>
      </w:r>
      <w:r w:rsidRPr="00E847E5">
        <w:t>└─┘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     </w:t>
      </w:r>
      <w:r w:rsidRPr="00E847E5">
        <w:t>┌─┐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(г) сложения  </w:t>
      </w:r>
      <w:r w:rsidRPr="00E847E5">
        <w:t xml:space="preserve">                                            </w:t>
      </w:r>
      <w:r w:rsidRPr="00E847E5">
        <w:t>│</w:t>
      </w:r>
      <w:r w:rsidRPr="00E847E5">
        <w:t xml:space="preserve"> </w:t>
      </w:r>
      <w:r w:rsidRPr="00E847E5">
        <w:t>│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     </w:t>
      </w:r>
      <w:r w:rsidRPr="00E847E5">
        <w:t>└─┘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     </w:t>
      </w:r>
      <w:r w:rsidRPr="00E847E5">
        <w:t>┌─┐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(д) резервному </w:t>
      </w:r>
      <w:hyperlink w:anchor="Par75" w:tooltip="     &lt;*&gt; В КАЧЕСТВЕ ОСНОВЫ ДЛЯ ОПРЕДЕЛЕНИЯ        9  Число дополнительных  " w:history="1">
        <w:r w:rsidRPr="00E847E5">
          <w:t>&lt;*&gt;</w:t>
        </w:r>
      </w:hyperlink>
      <w:r w:rsidRPr="00E847E5">
        <w:t xml:space="preserve">                                        </w:t>
      </w:r>
      <w:r w:rsidRPr="00E847E5">
        <w:t>│</w:t>
      </w:r>
      <w:r w:rsidRPr="00E847E5">
        <w:t xml:space="preserve"> </w:t>
      </w:r>
      <w:r w:rsidRPr="00E847E5">
        <w:t>│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     </w:t>
      </w:r>
      <w:r w:rsidRPr="00E847E5">
        <w:t>└─┘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</w:t>
      </w:r>
      <w:r w:rsidRPr="00E847E5">
        <w:t xml:space="preserve">                     </w:t>
      </w:r>
      <w:r w:rsidRPr="00E847E5">
        <w:t>┌─┐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(е) различными (если для разных товаров                   </w:t>
      </w:r>
      <w:r w:rsidRPr="00E847E5">
        <w:t>│</w:t>
      </w:r>
      <w:r w:rsidRPr="00E847E5">
        <w:t xml:space="preserve"> </w:t>
      </w:r>
      <w:r w:rsidRPr="00E847E5">
        <w:t>│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используются различные методы)                            </w:t>
      </w:r>
      <w:r w:rsidRPr="00E847E5">
        <w:t>└─┘</w:t>
      </w:r>
      <w:r w:rsidRPr="00E847E5">
        <w:t xml:space="preserve">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├─────────────────────────────────────────────────────────────────────</w:t>
      </w:r>
      <w:r w:rsidRPr="00E847E5">
        <w:t>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7  Причины, по которым предшествующие методы определения таможенной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стоимости не применимы                  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lastRenderedPageBreak/>
        <w:t>│</w:t>
      </w:r>
      <w:r w:rsidRPr="00E847E5">
        <w:t xml:space="preserve">                                           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</w:t>
      </w:r>
      <w:r w:rsidRPr="00E847E5">
        <w:t>────────────────────────────────────────────────────┤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8  Наименование и реквизиты основных документов, представленных в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подтверждение приводимых сведений             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├────────────────────────────────────────────────┬────────────────────────┤</w:t>
      </w:r>
    </w:p>
    <w:p w:rsidR="00000000" w:rsidRPr="00E847E5" w:rsidRDefault="00C02A05">
      <w:pPr>
        <w:pStyle w:val="ConsPlusNonformat"/>
        <w:jc w:val="both"/>
      </w:pPr>
      <w:bookmarkStart w:id="1" w:name="Par75"/>
      <w:bookmarkEnd w:id="1"/>
      <w:r w:rsidRPr="00E847E5">
        <w:t>│</w:t>
      </w:r>
      <w:r w:rsidRPr="00E847E5">
        <w:t xml:space="preserve">    &lt;*&gt; В КАЧЕСТВЕ ОСНОВЫ ДЛЯ ОПРЕДЕЛЕНИЯ       </w:t>
      </w:r>
      <w:r w:rsidRPr="00E847E5">
        <w:t>│</w:t>
      </w:r>
      <w:r w:rsidRPr="00E847E5">
        <w:t xml:space="preserve">9  Число дополнительных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ТАМОЖЕННОЙ СТОИМОСТИ ТОВАРА ПО РЕЗЕ</w:t>
      </w:r>
      <w:r w:rsidRPr="00E847E5">
        <w:t xml:space="preserve">РВНОМУ   </w:t>
      </w:r>
      <w:r w:rsidRPr="00E847E5">
        <w:t>│</w:t>
      </w:r>
      <w:r w:rsidRPr="00E847E5">
        <w:t xml:space="preserve">   листов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МЕТОДУ (в соответствии с </w:t>
      </w:r>
      <w:hyperlink r:id="rId7" w:history="1">
        <w:r w:rsidRPr="00E847E5">
          <w:t>п. 4 ст. 10</w:t>
        </w:r>
      </w:hyperlink>
      <w:r w:rsidRPr="00E847E5">
        <w:t xml:space="preserve">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Соглашения об определении стоимости товаров,</w:t>
      </w:r>
      <w:r w:rsidRPr="00E847E5">
        <w:t>├────────────────────────┤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перемещаемых через таможенную границу       </w:t>
      </w:r>
      <w:r w:rsidRPr="00E847E5">
        <w:t>│</w:t>
      </w:r>
      <w:r w:rsidRPr="00E847E5">
        <w:t>10 Место, дата, подпись,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таможенного союза, от 25.01.2008)           </w:t>
      </w:r>
      <w:r w:rsidRPr="00E847E5">
        <w:t>│</w:t>
      </w:r>
      <w:r w:rsidRPr="00E847E5">
        <w:t xml:space="preserve">   печать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</w:t>
      </w:r>
      <w:r w:rsidRPr="00E847E5">
        <w:t xml:space="preserve">                    </w:t>
      </w:r>
      <w:r w:rsidRPr="00E847E5">
        <w:t>│</w:t>
      </w:r>
      <w:r w:rsidRPr="00E847E5">
        <w:t xml:space="preserve">   г. Москва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НЕ МОГУТ БЫТЬ ИСПОЛЬЗОВАНЫ:                </w:t>
      </w:r>
      <w:r w:rsidRPr="00E847E5">
        <w:t>│</w:t>
      </w:r>
      <w:r w:rsidRPr="00E847E5">
        <w:t xml:space="preserve">   10.02.2016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- цена товара на внутреннем рынке Российской</w:t>
      </w:r>
      <w:r w:rsidRPr="00E847E5">
        <w:t>│</w:t>
      </w:r>
      <w:r w:rsidRPr="00E847E5">
        <w:t xml:space="preserve">   Финансовый директор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Федерации;                                  </w:t>
      </w:r>
      <w:r w:rsidRPr="00E847E5">
        <w:t>│</w:t>
      </w:r>
      <w:r w:rsidRPr="00E847E5">
        <w:t xml:space="preserve">   Петр</w:t>
      </w:r>
      <w:r w:rsidRPr="00E847E5">
        <w:t xml:space="preserve">ов В.С.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- цена товара, поставляемого из Российской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Федерации в иную страну, чем страна, в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которую поставляются оцениваемые товары;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- ин</w:t>
      </w:r>
      <w:r w:rsidRPr="00E847E5">
        <w:t xml:space="preserve">ые расходы, нежели те, которые подлежат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включению в расчетную стоимость товаров при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определении таможенной стоимости по методу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сложения в отношении идентичных </w:t>
      </w:r>
      <w:r w:rsidRPr="00E847E5">
        <w:t xml:space="preserve">или 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однородных товаров;                 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- цена, которая предусматривает принятие для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таможенных целей наивысшей из двух          </w:t>
      </w:r>
      <w:r w:rsidRPr="00E847E5">
        <w:t>│</w:t>
      </w:r>
      <w:r w:rsidRPr="00E847E5">
        <w:t xml:space="preserve">               </w:t>
      </w:r>
      <w:r w:rsidRPr="00E847E5">
        <w:t xml:space="preserve">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альтернативных стоимостей;          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- минимальные таможенные стоимости; 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- произвольные или фиктивные стоимости.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</w:t>
      </w:r>
      <w:r w:rsidRPr="00E847E5">
        <w:t xml:space="preserve">                                </w:t>
      </w:r>
      <w:r w:rsidRPr="00E847E5">
        <w:t>│</w:t>
      </w:r>
      <w:r w:rsidRPr="00E847E5">
        <w:t xml:space="preserve">                  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└────────────────────────────────────────────────┴────────────────────────┘</w:t>
      </w:r>
    </w:p>
    <w:p w:rsidR="00000000" w:rsidRPr="00E847E5" w:rsidRDefault="00C02A05">
      <w:pPr>
        <w:pStyle w:val="ConsPlusNonformat"/>
        <w:jc w:val="both"/>
      </w:pPr>
    </w:p>
    <w:p w:rsidR="00000000" w:rsidRPr="00E847E5" w:rsidRDefault="00C02A05">
      <w:pPr>
        <w:pStyle w:val="ConsPlusNonformat"/>
        <w:jc w:val="both"/>
      </w:pPr>
      <w:r w:rsidRPr="00E847E5">
        <w:t xml:space="preserve">                                                                 2</w:t>
      </w:r>
    </w:p>
    <w:p w:rsidR="00000000" w:rsidRPr="00E847E5" w:rsidRDefault="00C02A05">
      <w:pPr>
        <w:pStyle w:val="ConsPlusNonformat"/>
        <w:jc w:val="both"/>
      </w:pPr>
      <w:r w:rsidRPr="00E847E5">
        <w:t xml:space="preserve">                                           </w:t>
      </w:r>
      <w:hyperlink r:id="rId8" w:history="1">
        <w:r w:rsidRPr="00E847E5">
          <w:t>Форма ДТС-4</w:t>
        </w:r>
      </w:hyperlink>
      <w:r w:rsidRPr="00E847E5">
        <w:t xml:space="preserve">    Лист N ----------</w:t>
      </w:r>
    </w:p>
    <w:p w:rsidR="00000000" w:rsidRPr="00E847E5" w:rsidRDefault="00C02A05">
      <w:pPr>
        <w:pStyle w:val="ConsPlusNonformat"/>
        <w:jc w:val="both"/>
      </w:pPr>
    </w:p>
    <w:p w:rsidR="00000000" w:rsidRPr="00E847E5" w:rsidRDefault="00C02A05">
      <w:pPr>
        <w:pStyle w:val="ConsPlusNonformat"/>
        <w:jc w:val="both"/>
      </w:pPr>
      <w:r w:rsidRPr="00E847E5">
        <w:t xml:space="preserve">                                                          Методы 2, 3, 5, 6</w:t>
      </w:r>
    </w:p>
    <w:p w:rsidR="00000000" w:rsidRPr="00E847E5" w:rsidRDefault="00C02A05">
      <w:pPr>
        <w:pStyle w:val="ConsPlusNonformat"/>
        <w:jc w:val="both"/>
      </w:pPr>
    </w:p>
    <w:p w:rsidR="00000000" w:rsidRPr="00E847E5" w:rsidRDefault="00C02A05">
      <w:pPr>
        <w:pStyle w:val="ConsPlusNonformat"/>
        <w:jc w:val="both"/>
      </w:pPr>
      <w:r w:rsidRPr="00E847E5">
        <w:t>┌───────────────────────────────────────────────┬─────────┬────────</w:t>
      </w:r>
      <w:r w:rsidRPr="00E847E5">
        <w:t>┬──────┐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ДЛЯ ОТМЕТОК ТАМОЖЕННОГО ОРГАНА        </w:t>
      </w:r>
      <w:r w:rsidRPr="00E847E5">
        <w:t>│</w:t>
      </w:r>
      <w:r w:rsidRPr="00E847E5">
        <w:t xml:space="preserve">  Товар N</w:t>
      </w:r>
      <w:r w:rsidRPr="00E847E5">
        <w:t>│</w:t>
      </w:r>
      <w:r w:rsidRPr="00E847E5">
        <w:t xml:space="preserve"> Товар N</w:t>
      </w:r>
      <w:r w:rsidRPr="00E847E5">
        <w:t>│</w:t>
      </w:r>
      <w:r w:rsidRPr="00E847E5">
        <w:t xml:space="preserve"> Товар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N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</w:t>
      </w:r>
      <w:r w:rsidRPr="00E847E5">
        <w:t>├─────────┼────────┼──────┤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</w:t>
      </w:r>
      <w:r w:rsidRPr="00E847E5">
        <w:t>│</w:t>
      </w:r>
      <w:r w:rsidRPr="00E847E5">
        <w:t xml:space="preserve">   Код   </w:t>
      </w:r>
      <w:r w:rsidRPr="00E847E5">
        <w:t>│</w:t>
      </w:r>
      <w:r w:rsidRPr="00E847E5">
        <w:t xml:space="preserve">   Код  </w:t>
      </w:r>
      <w:r w:rsidRPr="00E847E5">
        <w:t>│</w:t>
      </w:r>
      <w:r w:rsidRPr="00E847E5">
        <w:t xml:space="preserve">  Код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</w:t>
      </w:r>
      <w:r w:rsidRPr="00E847E5">
        <w:t>│</w:t>
      </w:r>
      <w:r w:rsidRPr="00E847E5">
        <w:t xml:space="preserve"> ТН ВЭД  </w:t>
      </w:r>
      <w:r w:rsidRPr="00E847E5">
        <w:t>│</w:t>
      </w:r>
      <w:r w:rsidRPr="00E847E5">
        <w:t xml:space="preserve"> ТН ВЭД </w:t>
      </w:r>
      <w:r w:rsidRPr="00E847E5">
        <w:t>│</w:t>
      </w:r>
      <w:r w:rsidRPr="00E847E5">
        <w:t>ТН ВЭД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</w:t>
      </w:r>
      <w:r w:rsidRPr="00E847E5">
        <w:t>│</w:t>
      </w:r>
      <w:r w:rsidRPr="00E847E5">
        <w:t xml:space="preserve">  1401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├─────────────┬──────────────</w:t>
      </w:r>
      <w:r w:rsidRPr="00E847E5">
        <w:t>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bookmarkStart w:id="2" w:name="Par114"/>
      <w:bookmarkEnd w:id="2"/>
      <w:r w:rsidRPr="00E847E5">
        <w:t>│</w:t>
      </w:r>
      <w:r w:rsidRPr="00E847E5">
        <w:t>А. Основа для</w:t>
      </w:r>
      <w:r w:rsidRPr="00E847E5">
        <w:t>│</w:t>
      </w:r>
      <w:r w:rsidRPr="00E847E5">
        <w:t>11 Стоимость сделки с идентичными</w:t>
      </w:r>
      <w:r w:rsidRPr="00E847E5">
        <w:t>│</w:t>
      </w:r>
      <w:r w:rsidRPr="00E847E5">
        <w:t xml:space="preserve">  120000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расчета   </w:t>
      </w:r>
      <w:r w:rsidRPr="00E847E5">
        <w:t>│</w:t>
      </w:r>
      <w:r w:rsidRPr="00E847E5">
        <w:t xml:space="preserve">   товарами в РУБЛЯХ (для методов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2, 3, 6)                   </w:t>
      </w:r>
      <w:r w:rsidRPr="00E847E5">
        <w:t xml:space="preserve">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├─────────────────────────────────┼─────────┼────────┼──────┤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bookmarkStart w:id="3" w:name="Par118"/>
      <w:bookmarkEnd w:id="3"/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12 Расчетная стоимость вывозимых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товаров, определяемая путем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</w:t>
      </w:r>
      <w:r w:rsidRPr="00E847E5">
        <w:t xml:space="preserve">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сложения в РУБЛЯХ (для методов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5, 6):    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├─────────────────────────────────┼─────────┼────────┼──────┤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</w:t>
      </w:r>
      <w:r w:rsidRPr="00E847E5">
        <w:t xml:space="preserve"> </w:t>
      </w:r>
      <w:r w:rsidRPr="00E847E5">
        <w:t>│</w:t>
      </w:r>
      <w:r w:rsidRPr="00E847E5">
        <w:t xml:space="preserve">   (а) суммы расходов,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произведенных на изготовление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или приобретение материалов,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и расходов на производс</w:t>
      </w:r>
      <w:r w:rsidRPr="00E847E5">
        <w:t xml:space="preserve">тво, а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также иные операции,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связанные с производством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вывозимых товаров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</w:t>
      </w:r>
      <w:r w:rsidRPr="00E847E5">
        <w:t xml:space="preserve">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lastRenderedPageBreak/>
        <w:t>│</w:t>
      </w:r>
      <w:r w:rsidRPr="00E847E5">
        <w:t xml:space="preserve">             </w:t>
      </w:r>
      <w:r w:rsidRPr="00E847E5">
        <w:t>├─────────────────────────────────┼─────────┼────────┼──────┤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(б) суммы прибыли и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коммерческих и управленческих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рас</w:t>
      </w:r>
      <w:r w:rsidRPr="00E847E5">
        <w:t xml:space="preserve">ходов  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├─────────────┼─────────────────────────────────┼─────────┼────────┼──────┤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bookmarkStart w:id="4" w:name="Par135"/>
      <w:bookmarkEnd w:id="4"/>
      <w:r w:rsidRPr="00E847E5">
        <w:t>│</w:t>
      </w:r>
      <w:r w:rsidRPr="00E847E5">
        <w:t xml:space="preserve">Б. Корректи- </w:t>
      </w:r>
      <w:r w:rsidRPr="00E847E5">
        <w:t>│</w:t>
      </w:r>
      <w:r w:rsidRPr="00E847E5">
        <w:t xml:space="preserve">13 (а) корректировка на          </w:t>
      </w:r>
      <w:r w:rsidRPr="00E847E5">
        <w:t>│</w:t>
      </w:r>
      <w:r w:rsidRPr="00E847E5">
        <w:t xml:space="preserve">  +10000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ровки     </w:t>
      </w:r>
      <w:r w:rsidRPr="00E847E5">
        <w:t>│</w:t>
      </w:r>
      <w:r w:rsidRPr="00E847E5">
        <w:t xml:space="preserve">   количество (+/-)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стоимости </w:t>
      </w:r>
      <w:r w:rsidRPr="00E847E5">
        <w:t>├─────────────────────────────────┼─────────┼────────┼──────┤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сделки    </w:t>
      </w:r>
      <w:r w:rsidRPr="00E847E5">
        <w:t>│</w:t>
      </w:r>
      <w:r w:rsidRPr="00E847E5">
        <w:t xml:space="preserve">   (б) корректировка на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(+/-) </w:t>
      </w:r>
      <w:hyperlink w:anchor="Par75" w:tooltip="     &lt;*&gt; В КАЧЕСТВЕ ОСНОВЫ ДЛЯ ОПРЕДЕЛЕНИЯ        9  Число дополнительных  " w:history="1">
        <w:r w:rsidRPr="00E847E5">
          <w:t>&lt;*&gt;</w:t>
        </w:r>
      </w:hyperlink>
      <w:r w:rsidRPr="00E847E5">
        <w:t xml:space="preserve"> </w:t>
      </w:r>
      <w:r w:rsidRPr="00E847E5">
        <w:t>│</w:t>
      </w:r>
      <w:r w:rsidRPr="00E847E5">
        <w:t xml:space="preserve">   коммерческий уровень (+/-)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├─────────────────────────────────┼─────────┼────────┼──────┤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bookmarkStart w:id="5" w:name="Par141"/>
      <w:bookmarkEnd w:id="5"/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14 Итого </w:t>
      </w:r>
      <w:hyperlink w:anchor="Par135" w:tooltip=" Б. Корректи-  13 (а) корректировка на             +10000                  " w:history="1">
        <w:r w:rsidRPr="00E847E5">
          <w:t>графа 13</w:t>
        </w:r>
      </w:hyperlink>
      <w:r w:rsidRPr="00E847E5">
        <w:t xml:space="preserve"> в рублях (+/-) </w:t>
      </w:r>
      <w:r w:rsidRPr="00E847E5">
        <w:t>│</w:t>
      </w:r>
      <w:r w:rsidRPr="00E847E5">
        <w:t xml:space="preserve">  +10000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├─────────────────────────────────┼─────────┼────────┼──────┤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bookmarkStart w:id="6" w:name="Par143"/>
      <w:bookmarkEnd w:id="6"/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>15 Ст</w:t>
      </w:r>
      <w:r w:rsidRPr="00E847E5">
        <w:t xml:space="preserve">оимость сделки с учетом     </w:t>
      </w:r>
      <w:r w:rsidRPr="00E847E5">
        <w:t>│</w:t>
      </w:r>
      <w:r w:rsidRPr="00E847E5">
        <w:t xml:space="preserve">  130000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корректировок (</w:t>
      </w:r>
      <w:hyperlink w:anchor="Par114" w:tooltip=" А. Основа для 11 Стоимость сделки с идентичными   120000                  " w:history="1">
        <w:r w:rsidRPr="00E847E5">
          <w:t>11</w:t>
        </w:r>
      </w:hyperlink>
      <w:r w:rsidRPr="00E847E5">
        <w:t xml:space="preserve"> +/- </w:t>
      </w:r>
      <w:hyperlink w:anchor="Par141" w:tooltip="               14 Итого графа 13 в рублях (+/-)    +10000                  " w:history="1">
        <w:r w:rsidRPr="00E847E5">
          <w:t>14</w:t>
        </w:r>
      </w:hyperlink>
      <w:r w:rsidRPr="00E847E5">
        <w:t xml:space="preserve">)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в рублях  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├─────────────┼─────────────────────────────────┼─────────┼────────┼──────┤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>16 Ко</w:t>
      </w:r>
      <w:r w:rsidRPr="00E847E5">
        <w:t xml:space="preserve">личество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bookmarkStart w:id="7" w:name="Par148"/>
      <w:bookmarkEnd w:id="7"/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(а) идентичных/однородных     </w:t>
      </w:r>
      <w:r w:rsidRPr="00E847E5">
        <w:t>│</w:t>
      </w:r>
      <w:r w:rsidRPr="00E847E5">
        <w:t xml:space="preserve">    12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товаров   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</w:t>
      </w:r>
      <w:r w:rsidRPr="00E847E5">
        <w:t>├─────────────────────</w:t>
      </w:r>
      <w:r w:rsidRPr="00E847E5">
        <w:t>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bookmarkStart w:id="8" w:name="Par151"/>
      <w:bookmarkEnd w:id="8"/>
      <w:r w:rsidRPr="00E847E5">
        <w:t>│</w:t>
      </w:r>
      <w:r w:rsidRPr="00E847E5">
        <w:t xml:space="preserve">             </w:t>
      </w:r>
      <w:r w:rsidRPr="00E847E5">
        <w:t>│</w:t>
      </w:r>
      <w:r w:rsidRPr="00E847E5">
        <w:t xml:space="preserve">   (б) декларируемых товаров     </w:t>
      </w:r>
      <w:r w:rsidRPr="00E847E5">
        <w:t>│</w:t>
      </w:r>
      <w:r w:rsidRPr="00E847E5">
        <w:t xml:space="preserve">    12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├─────────────┴─────────────────────────────────┼─────────┼────────┼──────┤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17 ЗАЯВЛЕННАЯ ТАМОЖЕННАЯ СТОИМОСТЬ (</w:t>
      </w:r>
      <w:hyperlink w:anchor="Par143" w:tooltip="               15 Стоимость сделки с учетом        130000                  " w:history="1">
        <w:r w:rsidRPr="00E847E5">
          <w:t>15</w:t>
        </w:r>
      </w:hyperlink>
      <w:r w:rsidRPr="00E847E5">
        <w:t>/</w:t>
      </w:r>
      <w:hyperlink w:anchor="Par148" w:tooltip="                  (а) идентичных/однородных          12                    " w:history="1">
        <w:r w:rsidRPr="00E847E5">
          <w:t>16а</w:t>
        </w:r>
      </w:hyperlink>
      <w:r w:rsidRPr="00E847E5">
        <w:t xml:space="preserve">,   </w:t>
      </w:r>
      <w:r w:rsidRPr="00E847E5">
        <w:t>│</w:t>
      </w:r>
      <w:r w:rsidRPr="00E847E5">
        <w:t xml:space="preserve"> 1560000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</w:t>
      </w:r>
      <w:hyperlink w:anchor="Par151" w:tooltip="                  (б) декларируемых товаров          12                    " w:history="1">
        <w:r w:rsidRPr="00E847E5">
          <w:t>16б</w:t>
        </w:r>
      </w:hyperlink>
      <w:r w:rsidRPr="00E847E5">
        <w:t xml:space="preserve"> или </w:t>
      </w:r>
      <w:hyperlink w:anchor="Par118" w:tooltip="               12 Расчетная стоимость вывозимых                            " w:history="1">
        <w:r w:rsidRPr="00E847E5">
          <w:t>12</w:t>
        </w:r>
      </w:hyperlink>
      <w:r w:rsidRPr="00E847E5">
        <w:t xml:space="preserve">)               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</w:t>
      </w:r>
      <w:r w:rsidRPr="00E847E5">
        <w:t xml:space="preserve">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(а) в РУБЛЯХ                                  </w:t>
      </w:r>
      <w:r w:rsidRPr="00E847E5">
        <w:t>│</w:t>
      </w:r>
      <w:r w:rsidRPr="00E847E5">
        <w:t xml:space="preserve">        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├───────────────────────────────────────────────┼─────────┼────────┼──────┤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(б) в ДОЛЛАРАХ США (курс пересчета 79 рублей) </w:t>
      </w:r>
      <w:r w:rsidRPr="00E847E5">
        <w:t>│</w:t>
      </w:r>
      <w:r w:rsidRPr="00E847E5">
        <w:t xml:space="preserve">   19747 </w:t>
      </w:r>
      <w:r w:rsidRPr="00E847E5">
        <w:t>│</w:t>
      </w:r>
      <w:r w:rsidRPr="00E847E5">
        <w:t xml:space="preserve">        </w:t>
      </w:r>
      <w:r w:rsidRPr="00E847E5">
        <w:t>│</w:t>
      </w:r>
      <w:r w:rsidRPr="00E847E5">
        <w:t xml:space="preserve">  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├───────────────────────</w:t>
      </w:r>
      <w:r w:rsidRPr="00E847E5">
        <w:t>────────────────────────┴─────────┼────────┴──────┤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Дополнительные данные                                   </w:t>
      </w:r>
      <w:r w:rsidRPr="00E847E5">
        <w:t>│</w:t>
      </w:r>
      <w:r w:rsidRPr="00E847E5">
        <w:t>Подпись, печать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│</w:t>
      </w:r>
      <w:r w:rsidRPr="00E847E5">
        <w:t xml:space="preserve">                                                         </w:t>
      </w:r>
      <w:r w:rsidRPr="00E847E5">
        <w:t>│</w:t>
      </w:r>
      <w:r w:rsidRPr="00E847E5">
        <w:t xml:space="preserve">     Петров    </w:t>
      </w:r>
      <w:r w:rsidRPr="00E847E5">
        <w:t>│</w:t>
      </w:r>
    </w:p>
    <w:p w:rsidR="00000000" w:rsidRPr="00E847E5" w:rsidRDefault="00C02A05">
      <w:pPr>
        <w:pStyle w:val="ConsPlusNonformat"/>
        <w:jc w:val="both"/>
      </w:pPr>
      <w:r w:rsidRPr="00E847E5">
        <w:t>└───────────────────────────────────────────────────</w:t>
      </w:r>
      <w:r w:rsidRPr="00E847E5">
        <w:t>──────┴───────────────┘</w:t>
      </w:r>
    </w:p>
    <w:p w:rsidR="00000000" w:rsidRPr="00E847E5" w:rsidRDefault="00C02A05">
      <w:pPr>
        <w:pStyle w:val="ConsPlusNormal"/>
        <w:jc w:val="both"/>
      </w:pPr>
    </w:p>
    <w:p w:rsidR="00000000" w:rsidRPr="00E847E5" w:rsidRDefault="00C02A05">
      <w:pPr>
        <w:pStyle w:val="ConsPlusNormal"/>
        <w:jc w:val="both"/>
      </w:pPr>
    </w:p>
    <w:p w:rsidR="00C02A05" w:rsidRPr="00E847E5" w:rsidRDefault="00C02A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2A05" w:rsidRPr="00E847E5"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A05" w:rsidRDefault="00C02A05">
      <w:pPr>
        <w:spacing w:after="0" w:line="240" w:lineRule="auto"/>
      </w:pPr>
      <w:r>
        <w:separator/>
      </w:r>
    </w:p>
  </w:endnote>
  <w:endnote w:type="continuationSeparator" w:id="1">
    <w:p w:rsidR="00C02A05" w:rsidRDefault="00C0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A05" w:rsidRDefault="00C02A05">
      <w:pPr>
        <w:spacing w:after="0" w:line="240" w:lineRule="auto"/>
      </w:pPr>
      <w:r>
        <w:separator/>
      </w:r>
    </w:p>
  </w:footnote>
  <w:footnote w:type="continuationSeparator" w:id="1">
    <w:p w:rsidR="00C02A05" w:rsidRDefault="00C02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C1ACD"/>
    <w:rsid w:val="003C1ACD"/>
    <w:rsid w:val="00C02A05"/>
    <w:rsid w:val="00E8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84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47E5"/>
  </w:style>
  <w:style w:type="paragraph" w:styleId="a5">
    <w:name w:val="footer"/>
    <w:basedOn w:val="a"/>
    <w:link w:val="a6"/>
    <w:uiPriority w:val="99"/>
    <w:semiHidden/>
    <w:unhideWhenUsed/>
    <w:rsid w:val="00E84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58151&amp;date=11.09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30209&amp;date=11.09.2019&amp;dst=100139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58151&amp;date=11.09.20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1861</Words>
  <Characters>10610</Characters>
  <Application>Microsoft Office Word</Application>
  <DocSecurity>2</DocSecurity>
  <Lines>88</Lines>
  <Paragraphs>24</Paragraphs>
  <ScaleCrop>false</ScaleCrop>
  <Company>КонсультантПлюс Версия 4018.00.50</Company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таможенной стоимости. Форма N ДТС-4 (образец заполнения)(Подготовлен для системы КонсультантПлюс, 2019)</dc:title>
  <dc:creator>1</dc:creator>
  <cp:lastModifiedBy>1</cp:lastModifiedBy>
  <cp:revision>2</cp:revision>
  <dcterms:created xsi:type="dcterms:W3CDTF">2019-09-11T10:34:00Z</dcterms:created>
  <dcterms:modified xsi:type="dcterms:W3CDTF">2019-09-11T10:34:00Z</dcterms:modified>
</cp:coreProperties>
</file>